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19BBD" w14:textId="77777777" w:rsidR="00EB2C6B" w:rsidRPr="00976D56" w:rsidRDefault="00EB2C6B" w:rsidP="001E1260">
      <w:pPr>
        <w:pStyle w:val="PolicyTitleBox"/>
      </w:pPr>
      <w:r>
        <w:t>Clatskanie School District 6J</w:t>
      </w:r>
    </w:p>
    <w:p w14:paraId="6FC42CE7" w14:textId="77777777" w:rsidR="00CC7D46" w:rsidRPr="00597566" w:rsidRDefault="00CC7D46" w:rsidP="00CC7D46"/>
    <w:p w14:paraId="53FB8D4F" w14:textId="77777777" w:rsidR="001E1260" w:rsidRPr="00597566" w:rsidRDefault="001E1260" w:rsidP="001E1260">
      <w:pPr>
        <w:pStyle w:val="PolicyCode"/>
      </w:pPr>
      <w:r w:rsidRPr="00597566">
        <w:t>Code:</w:t>
      </w:r>
      <w:r w:rsidRPr="00597566">
        <w:tab/>
      </w:r>
      <w:r w:rsidR="00CC3B20" w:rsidRPr="00597566">
        <w:t>GCBDE/GDBDE</w:t>
      </w:r>
    </w:p>
    <w:p w14:paraId="4D2188A9" w14:textId="77777777" w:rsidR="009657E7" w:rsidRPr="00597566" w:rsidRDefault="001E1260" w:rsidP="001E1260">
      <w:pPr>
        <w:pStyle w:val="PolicyCode"/>
      </w:pPr>
      <w:r w:rsidRPr="00597566">
        <w:t>Adopted:</w:t>
      </w:r>
      <w:r w:rsidRPr="00597566">
        <w:tab/>
      </w:r>
    </w:p>
    <w:p w14:paraId="7641B6E8" w14:textId="77777777" w:rsidR="001E1260" w:rsidRPr="00597566" w:rsidRDefault="001E1260" w:rsidP="00CC7D46"/>
    <w:p w14:paraId="5212E3AE" w14:textId="77777777" w:rsidR="00EF573E" w:rsidRPr="00597566" w:rsidRDefault="00CC3B20" w:rsidP="00EF573E">
      <w:pPr>
        <w:pStyle w:val="PolicyTitle"/>
      </w:pPr>
      <w:r w:rsidRPr="00597566">
        <w:t>Military Leave of Absence</w:t>
      </w:r>
    </w:p>
    <w:p w14:paraId="598C041F" w14:textId="77777777" w:rsidR="00676CD5" w:rsidRPr="00597566" w:rsidRDefault="00676CD5" w:rsidP="009F292A"/>
    <w:p w14:paraId="02CB6A5C" w14:textId="4AAF7044" w:rsidR="00CC3B20" w:rsidRPr="00597566" w:rsidRDefault="00CC3B20" w:rsidP="00CC3B20">
      <w:pPr>
        <w:pStyle w:val="PolicyBodyText"/>
      </w:pPr>
      <w:r w:rsidRPr="00597566">
        <w:t>The district will grant military leave</w:t>
      </w:r>
      <w:r w:rsidR="00DC22BA" w:rsidRPr="00597566">
        <w:t xml:space="preserve"> of absence</w:t>
      </w:r>
      <w:r w:rsidRPr="00597566">
        <w:t xml:space="preserve"> to </w:t>
      </w:r>
      <w:r w:rsidR="00832D89" w:rsidRPr="00597566">
        <w:t xml:space="preserve">an </w:t>
      </w:r>
      <w:r w:rsidRPr="00597566">
        <w:t>employee on duty</w:t>
      </w:r>
      <w:r w:rsidRPr="00597566">
        <w:rPr>
          <w:rStyle w:val="FootnoteReference"/>
        </w:rPr>
        <w:footnoteReference w:id="1"/>
      </w:r>
      <w:r w:rsidRPr="00597566">
        <w:t xml:space="preserve"> with a uniformed service</w:t>
      </w:r>
      <w:r w:rsidRPr="00597566">
        <w:rPr>
          <w:rStyle w:val="FootnoteReference"/>
        </w:rPr>
        <w:footnoteReference w:id="2"/>
      </w:r>
      <w:r w:rsidRPr="00597566">
        <w:t xml:space="preserve"> in accordance with applicable state and federal law. </w:t>
      </w:r>
      <w:r w:rsidR="00832D89" w:rsidRPr="00597566">
        <w:t>An e</w:t>
      </w:r>
      <w:r w:rsidRPr="00597566">
        <w:t xml:space="preserve">mployee requesting military leave </w:t>
      </w:r>
      <w:r w:rsidR="009F292A" w:rsidRPr="00597566">
        <w:t>is</w:t>
      </w:r>
      <w:r w:rsidRPr="00597566">
        <w:t xml:space="preserve"> required to provide written notice as soon as practicable following notification of military call up or reservist duty, unless precluded by military necessity.</w:t>
      </w:r>
    </w:p>
    <w:p w14:paraId="50BBF528" w14:textId="77777777" w:rsidR="00CC3B20" w:rsidRPr="00597566" w:rsidRDefault="00CC3B20" w:rsidP="00CC3B20">
      <w:pPr>
        <w:pStyle w:val="PolicyBodyText"/>
      </w:pPr>
    </w:p>
    <w:p w14:paraId="55B8E00A" w14:textId="03275C4F" w:rsidR="00CC3B20" w:rsidRPr="00597566" w:rsidRDefault="003F6B88" w:rsidP="00CC3B20">
      <w:pPr>
        <w:pStyle w:val="PolicyBodyText"/>
      </w:pPr>
      <w:r w:rsidRPr="00597566">
        <w:t>A</w:t>
      </w:r>
      <w:r w:rsidR="00832D89" w:rsidRPr="00597566">
        <w:t xml:space="preserve">n </w:t>
      </w:r>
      <w:r w:rsidR="00DD352A" w:rsidRPr="00597566">
        <w:t>employee may apply for m</w:t>
      </w:r>
      <w:r w:rsidR="00CC3B20" w:rsidRPr="00597566">
        <w:t>ilitary leave</w:t>
      </w:r>
      <w:bookmarkStart w:id="0" w:name="_Hlk204692925"/>
      <w:r w:rsidR="00DD352A" w:rsidRPr="00597566">
        <w:rPr>
          <w:rStyle w:val="FootnoteReference"/>
        </w:rPr>
        <w:footnoteReference w:id="3"/>
      </w:r>
      <w:bookmarkEnd w:id="0"/>
      <w:r w:rsidR="00CC3B20" w:rsidRPr="00597566">
        <w:t xml:space="preserve"> </w:t>
      </w:r>
      <w:r w:rsidR="00DD352A" w:rsidRPr="00597566">
        <w:t>of absence</w:t>
      </w:r>
      <w:r w:rsidR="00A207A8" w:rsidRPr="00597566">
        <w:t xml:space="preserve"> from duties</w:t>
      </w:r>
      <w:r w:rsidR="00DD352A" w:rsidRPr="00597566">
        <w:t xml:space="preserve"> for up to 21 </w:t>
      </w:r>
      <w:proofErr w:type="gramStart"/>
      <w:r w:rsidR="00DD352A" w:rsidRPr="00597566">
        <w:t xml:space="preserve">work </w:t>
      </w:r>
      <w:r w:rsidR="00CC3B20" w:rsidRPr="00597566">
        <w:t>days</w:t>
      </w:r>
      <w:proofErr w:type="gramEnd"/>
      <w:r w:rsidR="00CC3B20" w:rsidRPr="00597566">
        <w:t xml:space="preserve"> </w:t>
      </w:r>
      <w:r w:rsidR="00DD352A" w:rsidRPr="00597566">
        <w:t xml:space="preserve">in </w:t>
      </w:r>
      <w:proofErr w:type="gramStart"/>
      <w:r w:rsidR="00DD352A" w:rsidRPr="00597566">
        <w:t>any one</w:t>
      </w:r>
      <w:proofErr w:type="gramEnd"/>
      <w:r w:rsidR="00DD352A" w:rsidRPr="00597566">
        <w:t xml:space="preserve"> training </w:t>
      </w:r>
      <w:bookmarkStart w:id="2" w:name="_Hlk204693291"/>
      <w:r w:rsidR="00DD352A" w:rsidRPr="00597566">
        <w:t>year</w:t>
      </w:r>
      <w:r w:rsidR="00DD352A" w:rsidRPr="00597566">
        <w:rPr>
          <w:rStyle w:val="FootnoteReference"/>
        </w:rPr>
        <w:footnoteReference w:id="4"/>
      </w:r>
      <w:r w:rsidR="00DD352A" w:rsidRPr="00597566">
        <w:t xml:space="preserve"> </w:t>
      </w:r>
      <w:bookmarkEnd w:id="2"/>
      <w:r w:rsidR="00DD352A" w:rsidRPr="00597566">
        <w:t>or in accordance with ORS 408.290</w:t>
      </w:r>
      <w:r w:rsidR="00CC3B20" w:rsidRPr="00597566">
        <w:t xml:space="preserve">. </w:t>
      </w:r>
      <w:r w:rsidR="00832D89" w:rsidRPr="00597566">
        <w:t>An e</w:t>
      </w:r>
      <w:r w:rsidR="00CC3B20" w:rsidRPr="00597566">
        <w:t xml:space="preserve">mployee may use any accrued vacation or similar leave during the period of service exceeding </w:t>
      </w:r>
      <w:r w:rsidR="00DD352A" w:rsidRPr="00597566">
        <w:t xml:space="preserve">21 </w:t>
      </w:r>
      <w:r w:rsidR="00CC3B20" w:rsidRPr="00597566">
        <w:t>days.</w:t>
      </w:r>
      <w:r w:rsidR="00F9332D" w:rsidRPr="00597566">
        <w:t xml:space="preserve"> Military leave shall be in addition to any </w:t>
      </w:r>
      <w:r w:rsidR="009F292A" w:rsidRPr="00597566">
        <w:t>other</w:t>
      </w:r>
      <w:r w:rsidR="00F9332D" w:rsidRPr="00597566">
        <w:t xml:space="preserve"> leave the employee</w:t>
      </w:r>
      <w:r w:rsidR="00832D89" w:rsidRPr="00597566">
        <w:t xml:space="preserve"> is</w:t>
      </w:r>
      <w:r w:rsidR="00F9332D" w:rsidRPr="00597566">
        <w:t xml:space="preserve"> entitled.</w:t>
      </w:r>
    </w:p>
    <w:p w14:paraId="3077CEAE" w14:textId="77777777" w:rsidR="00CC3B20" w:rsidRPr="00597566" w:rsidRDefault="00CC3B20" w:rsidP="00CC3B20">
      <w:pPr>
        <w:pStyle w:val="PolicyBodyText"/>
      </w:pPr>
    </w:p>
    <w:p w14:paraId="7F40A407" w14:textId="77777777" w:rsidR="00CC3B20" w:rsidRPr="00597566" w:rsidRDefault="00CC3B20" w:rsidP="00CC3B20">
      <w:pPr>
        <w:pStyle w:val="PolicyBodyText"/>
      </w:pPr>
      <w:r w:rsidRPr="00597566">
        <w:t>While on military leave, the employee will receive the same benefits as other employees on leave, as well as the following:</w:t>
      </w:r>
    </w:p>
    <w:p w14:paraId="6DE190EF" w14:textId="77777777" w:rsidR="00CC3B20" w:rsidRPr="00597566" w:rsidRDefault="00CC3B20" w:rsidP="00CC3B20">
      <w:pPr>
        <w:pStyle w:val="PolicyBodyText"/>
      </w:pPr>
    </w:p>
    <w:p w14:paraId="01820C5A" w14:textId="180CE9AA" w:rsidR="00CC3B20" w:rsidRPr="00597566" w:rsidRDefault="00CC3B20" w:rsidP="00CC3B20">
      <w:pPr>
        <w:pStyle w:val="Level1"/>
      </w:pPr>
      <w:r w:rsidRPr="00597566">
        <w:t xml:space="preserve">The employee may continue enrollment in the district’s health insurance plan. During the first 18 months of leave, the employee may be required to pay any employee </w:t>
      </w:r>
      <w:r w:rsidR="00DD352A" w:rsidRPr="00597566">
        <w:t xml:space="preserve">contributions </w:t>
      </w:r>
      <w:r w:rsidRPr="00597566">
        <w:t xml:space="preserve">required </w:t>
      </w:r>
      <w:proofErr w:type="gramStart"/>
      <w:r w:rsidRPr="00597566">
        <w:t>of</w:t>
      </w:r>
      <w:proofErr w:type="gramEnd"/>
      <w:r w:rsidRPr="00597566">
        <w:t xml:space="preserve"> other employees on a leave of absence. If the leave extends beyond 18 months, the employee will be required to pay </w:t>
      </w:r>
      <w:proofErr w:type="spellStart"/>
      <w:r w:rsidRPr="00597566">
        <w:t>not</w:t>
      </w:r>
      <w:proofErr w:type="spellEnd"/>
      <w:r w:rsidRPr="00597566">
        <w:t xml:space="preserve"> more than 102 percent of the full </w:t>
      </w:r>
      <w:proofErr w:type="gramStart"/>
      <w:r w:rsidRPr="00597566">
        <w:t>premium;</w:t>
      </w:r>
      <w:proofErr w:type="gramEnd"/>
    </w:p>
    <w:p w14:paraId="75207EFB" w14:textId="77777777" w:rsidR="00CC3B20" w:rsidRPr="00597566" w:rsidRDefault="00CC3B20" w:rsidP="00CC3B20">
      <w:pPr>
        <w:pStyle w:val="Level1"/>
      </w:pPr>
      <w:r w:rsidRPr="00597566">
        <w:t>Upon return from military service, the district will give retroactive employer contributions to the Public Employees Retirement System on the same basis as if the employee had not left, provided the employee was an enrolled member at the time of the leave. The employee may repay any required employee contributions over a period of three times the military service leave period or five years, whichever is less.</w:t>
      </w:r>
    </w:p>
    <w:p w14:paraId="7AB45C6A" w14:textId="393895F1" w:rsidR="00CC3B20" w:rsidRPr="00597566" w:rsidRDefault="00CC3B20" w:rsidP="00CC3B20">
      <w:pPr>
        <w:pStyle w:val="PolicyBodyText"/>
      </w:pPr>
      <w:r w:rsidRPr="00597566">
        <w:t xml:space="preserve">An employee on duty with a uniformed service is entitled to reemployment for a maximum of five years, unless retained on active duty because of war or national emergency. An individual returning from military leave shall notify the district of </w:t>
      </w:r>
      <w:r w:rsidR="00DD352A" w:rsidRPr="00597566">
        <w:t xml:space="preserve">their </w:t>
      </w:r>
      <w:r w:rsidRPr="00597566">
        <w:t xml:space="preserve">intent to return </w:t>
      </w:r>
      <w:r w:rsidR="00DD352A" w:rsidRPr="00597566">
        <w:t xml:space="preserve">to the district </w:t>
      </w:r>
      <w:r w:rsidRPr="00597566">
        <w:t>as follows:</w:t>
      </w:r>
    </w:p>
    <w:p w14:paraId="744A5633" w14:textId="77777777" w:rsidR="00CC3B20" w:rsidRPr="00597566" w:rsidRDefault="00CC3B20" w:rsidP="00CC3B20">
      <w:pPr>
        <w:pStyle w:val="PolicyBodyText"/>
      </w:pPr>
    </w:p>
    <w:p w14:paraId="62D9E0EE" w14:textId="76D58F46" w:rsidR="00CC3B20" w:rsidRPr="00597566" w:rsidRDefault="00832D89" w:rsidP="00646D38">
      <w:pPr>
        <w:pStyle w:val="Level1"/>
        <w:numPr>
          <w:ilvl w:val="0"/>
          <w:numId w:val="16"/>
        </w:numPr>
      </w:pPr>
      <w:r w:rsidRPr="00597566">
        <w:lastRenderedPageBreak/>
        <w:t>An e</w:t>
      </w:r>
      <w:r w:rsidR="00CC3B20" w:rsidRPr="00597566">
        <w:t xml:space="preserve">mployee who </w:t>
      </w:r>
      <w:r w:rsidRPr="00597566">
        <w:t>is a</w:t>
      </w:r>
      <w:r w:rsidR="00CC3B20" w:rsidRPr="00597566">
        <w:t xml:space="preserve"> veteran </w:t>
      </w:r>
      <w:r w:rsidRPr="00597566">
        <w:t>or</w:t>
      </w:r>
      <w:r w:rsidR="00CC3B20" w:rsidRPr="00597566">
        <w:t xml:space="preserve"> reservist returning from training must only inform the district of their training obligations and report back at the next regularly scheduled working </w:t>
      </w:r>
      <w:proofErr w:type="gramStart"/>
      <w:r w:rsidR="00CC3B20" w:rsidRPr="00597566">
        <w:t>period;</w:t>
      </w:r>
      <w:proofErr w:type="gramEnd"/>
    </w:p>
    <w:p w14:paraId="5B96F4C8" w14:textId="2B3EE915" w:rsidR="00CC3B20" w:rsidRPr="00597566" w:rsidRDefault="0025473A" w:rsidP="00CC3B20">
      <w:pPr>
        <w:pStyle w:val="Level1"/>
      </w:pPr>
      <w:r w:rsidRPr="00597566">
        <w:t>An e</w:t>
      </w:r>
      <w:r w:rsidR="00CC3B20" w:rsidRPr="00597566">
        <w:t>mployee returning from active duty</w:t>
      </w:r>
      <w:r w:rsidR="003F2402" w:rsidRPr="00597566">
        <w:t xml:space="preserve"> </w:t>
      </w:r>
      <w:r w:rsidR="00CC3B20" w:rsidRPr="00597566">
        <w:t xml:space="preserve">must notify the district of their intention to return to their former job within 90 days </w:t>
      </w:r>
      <w:r w:rsidR="00195894" w:rsidRPr="00597566">
        <w:t xml:space="preserve">after </w:t>
      </w:r>
      <w:r w:rsidR="003F2402" w:rsidRPr="00597566">
        <w:t xml:space="preserve">the employee is relieved </w:t>
      </w:r>
      <w:r w:rsidR="00CC3B20" w:rsidRPr="00597566">
        <w:t>from duty</w:t>
      </w:r>
      <w:r w:rsidR="009418C2" w:rsidRPr="00597566">
        <w:t>, or from hospitalization continuing after discharge for a period of not more than one year</w:t>
      </w:r>
      <w:r w:rsidR="00CC3B20" w:rsidRPr="00597566">
        <w:t>.</w:t>
      </w:r>
    </w:p>
    <w:p w14:paraId="49399331" w14:textId="77777777" w:rsidR="00CC3B20" w:rsidRPr="00597566" w:rsidRDefault="00CC3B20" w:rsidP="00DC22BA">
      <w:pPr>
        <w:pStyle w:val="PolicyBodyText"/>
        <w:spacing w:after="240"/>
      </w:pPr>
      <w:r w:rsidRPr="00597566">
        <w:t>An individual reemployed under this policy is entitled to the seniority and other currently existing rights and benefits the individual had when service started, plus the additional seniority and similar rights and benefits that would have been accrued if employment had been continuous.</w:t>
      </w:r>
    </w:p>
    <w:p w14:paraId="1F87C5B7" w14:textId="77777777" w:rsidR="00CC3B20" w:rsidRPr="00597566" w:rsidRDefault="00CC3B20" w:rsidP="00CC3B20">
      <w:pPr>
        <w:pStyle w:val="PolicyBodyText"/>
      </w:pPr>
      <w:r w:rsidRPr="00597566">
        <w:t>This policy does not apply if the employee has been separated from service with a dishonorable or bad conduct discharge or under other than honorable conditions.</w:t>
      </w:r>
    </w:p>
    <w:p w14:paraId="36B8C1BE" w14:textId="77777777" w:rsidR="00CC3B20" w:rsidRPr="00597566" w:rsidRDefault="00CC3B20" w:rsidP="00CC3B20">
      <w:pPr>
        <w:pStyle w:val="PolicyBodyText"/>
      </w:pPr>
    </w:p>
    <w:p w14:paraId="68ED5BB4" w14:textId="77777777" w:rsidR="00CC3B20" w:rsidRPr="00597566" w:rsidRDefault="00CC3B20" w:rsidP="00CC3B20">
      <w:pPr>
        <w:pStyle w:val="PolicyBodyText"/>
      </w:pPr>
      <w:r w:rsidRPr="00597566">
        <w:t>END OF POLICY</w:t>
      </w:r>
    </w:p>
    <w:p w14:paraId="74E405BE" w14:textId="77777777" w:rsidR="00CC3B20" w:rsidRPr="00597566" w:rsidRDefault="00CC3B20" w:rsidP="00CC3B20">
      <w:pPr>
        <w:pStyle w:val="PolicyLine"/>
      </w:pPr>
    </w:p>
    <w:p w14:paraId="6ABD45CD" w14:textId="77777777" w:rsidR="00CC3B20" w:rsidRPr="00597566" w:rsidRDefault="00CC3B20" w:rsidP="00E53DF5">
      <w:pPr>
        <w:pStyle w:val="PolicyReferencesHeading"/>
      </w:pPr>
      <w:r w:rsidRPr="00597566">
        <w:t>Legal Reference(s):</w:t>
      </w:r>
    </w:p>
    <w:p w14:paraId="7A2BCC5F" w14:textId="77777777" w:rsidR="00CC3B20" w:rsidRPr="00597566" w:rsidRDefault="00CC3B20" w:rsidP="00CC3B20">
      <w:pPr>
        <w:pStyle w:val="PolicyReferences"/>
      </w:pPr>
    </w:p>
    <w:p w14:paraId="7D4C3EDC" w14:textId="77777777" w:rsidR="00CC3B20" w:rsidRPr="00597566" w:rsidRDefault="00CC3B20" w:rsidP="00CC3B20">
      <w:pPr>
        <w:pStyle w:val="PolicyReferences"/>
        <w:sectPr w:rsidR="00CC3B20" w:rsidRPr="00597566" w:rsidSect="00CC3B20">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3" w:name="Laws"/>
    <w:bookmarkStart w:id="4" w:name="ORS"/>
    <w:bookmarkEnd w:id="3"/>
    <w:bookmarkEnd w:id="4"/>
    <w:p w14:paraId="711482EB" w14:textId="08A155AA" w:rsidR="00CC3B20" w:rsidRPr="00597566" w:rsidRDefault="00493E7F" w:rsidP="00CC3B20">
      <w:pPr>
        <w:pStyle w:val="PolicyReferences"/>
      </w:pPr>
      <w:r w:rsidRPr="00597566">
        <w:rPr>
          <w:rStyle w:val="SYSHYPERTEXT"/>
        </w:rPr>
        <w:fldChar w:fldCharType="begin"/>
      </w:r>
      <w:r w:rsidRPr="00597566">
        <w:rPr>
          <w:rStyle w:val="SYSHYPERTEXT"/>
        </w:rPr>
        <w:instrText>HYPERLINK "http://policy.osba.org/orsredir.asp?ors=ors-332"</w:instrText>
      </w:r>
      <w:r w:rsidRPr="00597566">
        <w:rPr>
          <w:rStyle w:val="SYSHYPERTEXT"/>
        </w:rPr>
      </w:r>
      <w:r w:rsidRPr="00597566">
        <w:rPr>
          <w:rStyle w:val="SYSHYPERTEXT"/>
        </w:rPr>
        <w:fldChar w:fldCharType="separate"/>
      </w:r>
      <w:r w:rsidRPr="00597566">
        <w:rPr>
          <w:rStyle w:val="Hyperlink"/>
        </w:rPr>
        <w:t>ORS 332</w:t>
      </w:r>
      <w:r w:rsidRPr="00597566">
        <w:rPr>
          <w:rStyle w:val="SYSHYPERTEXT"/>
        </w:rPr>
        <w:fldChar w:fldCharType="end"/>
      </w:r>
      <w:r w:rsidR="00CC3B20" w:rsidRPr="00597566">
        <w:t>.505</w:t>
      </w:r>
    </w:p>
    <w:bookmarkStart w:id="5" w:name="_Hlk204693114"/>
    <w:p w14:paraId="318B1094" w14:textId="15AE560F" w:rsidR="008072E8" w:rsidRPr="00597566" w:rsidRDefault="00493E7F" w:rsidP="00CC3B20">
      <w:pPr>
        <w:pStyle w:val="PolicyReferences"/>
      </w:pPr>
      <w:r w:rsidRPr="00597566">
        <w:fldChar w:fldCharType="begin"/>
      </w:r>
      <w:r w:rsidRPr="00597566">
        <w:instrText>HYPERLINK "http://policy.osba.org/orsredir.asp?ors=ors-408"</w:instrText>
      </w:r>
      <w:r w:rsidRPr="00597566">
        <w:fldChar w:fldCharType="separate"/>
      </w:r>
      <w:r w:rsidRPr="00597566">
        <w:rPr>
          <w:rStyle w:val="Hyperlink"/>
        </w:rPr>
        <w:t>ORS 408</w:t>
      </w:r>
      <w:r w:rsidRPr="00597566">
        <w:fldChar w:fldCharType="end"/>
      </w:r>
      <w:r w:rsidR="008072E8" w:rsidRPr="00597566">
        <w:t>.238</w:t>
      </w:r>
    </w:p>
    <w:p w14:paraId="6FB3F492" w14:textId="6730B5A6" w:rsidR="009418C2" w:rsidRPr="00597566" w:rsidRDefault="00493E7F" w:rsidP="00CC3B20">
      <w:pPr>
        <w:pStyle w:val="PolicyReferences"/>
      </w:pPr>
      <w:hyperlink r:id="rId14" w:history="1">
        <w:r w:rsidRPr="00597566">
          <w:rPr>
            <w:rStyle w:val="Hyperlink"/>
          </w:rPr>
          <w:t>ORS 408</w:t>
        </w:r>
      </w:hyperlink>
      <w:r w:rsidR="009418C2" w:rsidRPr="00597566">
        <w:t>.240</w:t>
      </w:r>
    </w:p>
    <w:p w14:paraId="3F246A88" w14:textId="04A7F7F0" w:rsidR="00534373" w:rsidRPr="00597566" w:rsidRDefault="00493E7F" w:rsidP="00CC3B20">
      <w:pPr>
        <w:pStyle w:val="PolicyReferences"/>
        <w:rPr>
          <w:rStyle w:val="SYSHYPERTEXT"/>
          <w:color w:val="auto"/>
          <w:u w:val="none"/>
        </w:rPr>
      </w:pPr>
      <w:hyperlink r:id="rId15" w:history="1">
        <w:r w:rsidRPr="00597566">
          <w:rPr>
            <w:rStyle w:val="Hyperlink"/>
          </w:rPr>
          <w:t>ORS 408</w:t>
        </w:r>
      </w:hyperlink>
      <w:r w:rsidR="00534373" w:rsidRPr="00597566">
        <w:rPr>
          <w:rStyle w:val="SYSHYPERTEXT"/>
          <w:color w:val="auto"/>
          <w:u w:val="none"/>
        </w:rPr>
        <w:t>.270</w:t>
      </w:r>
    </w:p>
    <w:bookmarkEnd w:id="5"/>
    <w:p w14:paraId="420D3C56" w14:textId="6DD1E3CB" w:rsidR="00CC3B20" w:rsidRPr="00597566" w:rsidRDefault="00493E7F" w:rsidP="00CC3B20">
      <w:pPr>
        <w:pStyle w:val="PolicyReferences"/>
      </w:pPr>
      <w:r w:rsidRPr="00597566">
        <w:fldChar w:fldCharType="begin"/>
      </w:r>
      <w:r w:rsidRPr="00597566">
        <w:instrText>HYPERLINK "http://policy.osba.org/orsredir.asp?ors=ors-408"</w:instrText>
      </w:r>
      <w:r w:rsidRPr="00597566">
        <w:fldChar w:fldCharType="separate"/>
      </w:r>
      <w:r w:rsidRPr="00597566">
        <w:rPr>
          <w:rStyle w:val="Hyperlink"/>
        </w:rPr>
        <w:t>ORS 408</w:t>
      </w:r>
      <w:r w:rsidRPr="00597566">
        <w:fldChar w:fldCharType="end"/>
      </w:r>
      <w:r w:rsidR="00CC3B20" w:rsidRPr="00597566">
        <w:t>.290</w:t>
      </w:r>
    </w:p>
    <w:bookmarkStart w:id="6" w:name="_Hlk204693126"/>
    <w:p w14:paraId="724267C0" w14:textId="06F7C940" w:rsidR="00195894" w:rsidRPr="00597566" w:rsidRDefault="00493E7F" w:rsidP="00CC3B20">
      <w:pPr>
        <w:pStyle w:val="PolicyReferences"/>
      </w:pPr>
      <w:r w:rsidRPr="00597566">
        <w:fldChar w:fldCharType="begin"/>
      </w:r>
      <w:r w:rsidRPr="00597566">
        <w:instrText>HYPERLINK "http://policy.osba.org/orsredir.asp?ors=ors-659a"</w:instrText>
      </w:r>
      <w:r w:rsidRPr="00597566">
        <w:fldChar w:fldCharType="separate"/>
      </w:r>
      <w:r w:rsidRPr="00597566">
        <w:rPr>
          <w:rStyle w:val="Hyperlink"/>
        </w:rPr>
        <w:t>ORS 659A</w:t>
      </w:r>
      <w:r w:rsidRPr="00597566">
        <w:fldChar w:fldCharType="end"/>
      </w:r>
      <w:r w:rsidR="00195894" w:rsidRPr="00597566">
        <w:t>.082</w:t>
      </w:r>
    </w:p>
    <w:p w14:paraId="43DA08F7" w14:textId="207FAB13" w:rsidR="00493E7F" w:rsidRPr="00597566" w:rsidRDefault="00493E7F" w:rsidP="00CC3B20">
      <w:pPr>
        <w:pStyle w:val="PolicyReferences"/>
        <w:sectPr w:rsidR="00493E7F" w:rsidRPr="00597566" w:rsidSect="00CC3B20">
          <w:footerReference w:type="default" r:id="rId16"/>
          <w:type w:val="continuous"/>
          <w:pgSz w:w="12240" w:h="15838"/>
          <w:pgMar w:top="936" w:right="720" w:bottom="720" w:left="1224" w:header="432" w:footer="720" w:gutter="0"/>
          <w:cols w:num="3" w:space="720" w:equalWidth="0">
            <w:col w:w="3192" w:space="360"/>
            <w:col w:w="3192" w:space="360"/>
            <w:col w:w="3192"/>
          </w:cols>
          <w:noEndnote/>
          <w:docGrid w:linePitch="326"/>
        </w:sectPr>
      </w:pPr>
      <w:hyperlink r:id="rId17" w:history="1">
        <w:r w:rsidRPr="00597566">
          <w:rPr>
            <w:rStyle w:val="Hyperlink"/>
          </w:rPr>
          <w:t>ORS 659A</w:t>
        </w:r>
      </w:hyperlink>
      <w:r w:rsidRPr="00597566">
        <w:t>.086</w:t>
      </w:r>
      <w:bookmarkEnd w:id="6"/>
    </w:p>
    <w:p w14:paraId="2A39F4BD" w14:textId="77777777" w:rsidR="001B55AD" w:rsidRPr="00597566" w:rsidRDefault="001B55AD" w:rsidP="00CC3B20">
      <w:pPr>
        <w:pStyle w:val="PolicyReferences"/>
      </w:pPr>
    </w:p>
    <w:p w14:paraId="1E96B889" w14:textId="27809795" w:rsidR="00CC3B20" w:rsidRPr="00597566" w:rsidRDefault="00CC3B20" w:rsidP="00CC3B20">
      <w:pPr>
        <w:pStyle w:val="PolicyReferences"/>
      </w:pPr>
      <w:r w:rsidRPr="00597566">
        <w:t>Consolidated Omnibus Budget Reconciliation Act of 1985, 42 U.S.C. §§ 300bb-1-300bb-8 (</w:t>
      </w:r>
      <w:r w:rsidR="00DD352A" w:rsidRPr="00597566">
        <w:t>20</w:t>
      </w:r>
      <w:r w:rsidR="00714D0F" w:rsidRPr="00597566">
        <w:t>24</w:t>
      </w:r>
      <w:r w:rsidRPr="00597566">
        <w:t>).</w:t>
      </w:r>
    </w:p>
    <w:p w14:paraId="17321A37" w14:textId="497B21E6" w:rsidR="00CC3B20" w:rsidRPr="00597566" w:rsidRDefault="00CC3B20" w:rsidP="00CC3B20">
      <w:pPr>
        <w:pStyle w:val="PolicyReferences"/>
      </w:pPr>
      <w:r w:rsidRPr="00597566">
        <w:t>I.R.C.</w:t>
      </w:r>
      <w:r w:rsidR="00BF7A19" w:rsidRPr="00597566">
        <w:t>, U.S.C. 26</w:t>
      </w:r>
      <w:r w:rsidRPr="00597566">
        <w:t xml:space="preserve"> § 4980B(f)(4) (</w:t>
      </w:r>
      <w:r w:rsidR="00DD352A" w:rsidRPr="00597566">
        <w:t>20</w:t>
      </w:r>
      <w:r w:rsidR="00714D0F" w:rsidRPr="00597566">
        <w:t>24</w:t>
      </w:r>
      <w:r w:rsidRPr="00597566">
        <w:t>).</w:t>
      </w:r>
    </w:p>
    <w:p w14:paraId="78247D87" w14:textId="13D04F12" w:rsidR="00CC3B20" w:rsidRPr="00597566" w:rsidRDefault="00CC3B20" w:rsidP="00CC3B20">
      <w:pPr>
        <w:pStyle w:val="PolicyReferences"/>
      </w:pPr>
      <w:r w:rsidRPr="00597566">
        <w:t>Employment and Reemployment Rights of Members of the Uniformed Services, 38 U.S.C. §§ 4301-4334 (</w:t>
      </w:r>
      <w:r w:rsidR="00DD352A" w:rsidRPr="00597566">
        <w:t>20</w:t>
      </w:r>
      <w:r w:rsidR="00714D0F" w:rsidRPr="00597566">
        <w:t>24</w:t>
      </w:r>
      <w:r w:rsidRPr="00597566">
        <w:t>).</w:t>
      </w:r>
      <w:bookmarkStart w:id="7" w:name="LawsEnd"/>
      <w:bookmarkEnd w:id="7"/>
    </w:p>
    <w:sectPr w:rsidR="00CC3B20" w:rsidRPr="00597566" w:rsidSect="00CC3B20">
      <w:footerReference w:type="default" r:id="rId18"/>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BA7B0" w14:textId="77777777" w:rsidR="005B762A" w:rsidRDefault="005B762A" w:rsidP="00FC3907">
      <w:r>
        <w:separator/>
      </w:r>
    </w:p>
  </w:endnote>
  <w:endnote w:type="continuationSeparator" w:id="0">
    <w:p w14:paraId="112623FF" w14:textId="77777777" w:rsidR="005B762A" w:rsidRDefault="005B762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30CF6" w14:textId="77777777" w:rsidR="00CE1A47" w:rsidRDefault="00CE1A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C3B20" w:rsidRPr="00597566" w14:paraId="368AAF7B" w14:textId="77777777" w:rsidTr="004616AD">
      <w:tc>
        <w:tcPr>
          <w:tcW w:w="2340" w:type="dxa"/>
        </w:tcPr>
        <w:p w14:paraId="3F1AB5C5" w14:textId="05176432" w:rsidR="00CC3B20" w:rsidRPr="00597566" w:rsidRDefault="00DD352A" w:rsidP="004616AD">
          <w:pPr>
            <w:pStyle w:val="Footer"/>
            <w:rPr>
              <w:noProof/>
              <w:sz w:val="20"/>
            </w:rPr>
          </w:pPr>
          <w:r w:rsidRPr="00597566">
            <w:rPr>
              <w:noProof/>
              <w:sz w:val="20"/>
            </w:rPr>
            <w:t>8</w:t>
          </w:r>
          <w:r w:rsidR="00DC22BA" w:rsidRPr="00597566">
            <w:rPr>
              <w:noProof/>
              <w:sz w:val="20"/>
            </w:rPr>
            <w:t>/25</w:t>
          </w:r>
          <w:r w:rsidR="00CC3B20" w:rsidRPr="00597566">
            <w:rPr>
              <w:noProof/>
              <w:sz w:val="20"/>
            </w:rPr>
            <w:t>│</w:t>
          </w:r>
          <w:r w:rsidR="00DC22BA" w:rsidRPr="00597566">
            <w:rPr>
              <w:noProof/>
              <w:sz w:val="20"/>
            </w:rPr>
            <w:t>LF</w:t>
          </w:r>
        </w:p>
      </w:tc>
      <w:tc>
        <w:tcPr>
          <w:tcW w:w="7956" w:type="dxa"/>
        </w:tcPr>
        <w:p w14:paraId="7EBC09EC" w14:textId="77777777" w:rsidR="00CC3B20" w:rsidRPr="00597566" w:rsidRDefault="00CC3B20" w:rsidP="004616AD">
          <w:pPr>
            <w:pStyle w:val="Footer"/>
            <w:jc w:val="right"/>
          </w:pPr>
          <w:r w:rsidRPr="00597566">
            <w:t>Military Leave of Absence – GCBDE/GDBDE</w:t>
          </w:r>
        </w:p>
        <w:p w14:paraId="0ED5AE41" w14:textId="77777777" w:rsidR="00CC3B20" w:rsidRPr="00597566" w:rsidRDefault="00CC3B20" w:rsidP="004616AD">
          <w:pPr>
            <w:pStyle w:val="Footer"/>
            <w:jc w:val="right"/>
            <w:rPr>
              <w:sz w:val="20"/>
            </w:rPr>
          </w:pPr>
          <w:r w:rsidRPr="00597566">
            <w:rPr>
              <w:bCs/>
              <w:noProof/>
            </w:rPr>
            <w:fldChar w:fldCharType="begin"/>
          </w:r>
          <w:r w:rsidRPr="00597566">
            <w:rPr>
              <w:bCs/>
              <w:noProof/>
            </w:rPr>
            <w:instrText xml:space="preserve"> PAGE  \* Arabic  \* MERGEFORMAT </w:instrText>
          </w:r>
          <w:r w:rsidRPr="00597566">
            <w:rPr>
              <w:bCs/>
              <w:noProof/>
            </w:rPr>
            <w:fldChar w:fldCharType="separate"/>
          </w:r>
          <w:r w:rsidRPr="00597566">
            <w:rPr>
              <w:bCs/>
              <w:noProof/>
            </w:rPr>
            <w:t>1</w:t>
          </w:r>
          <w:r w:rsidRPr="00597566">
            <w:rPr>
              <w:bCs/>
              <w:noProof/>
            </w:rPr>
            <w:fldChar w:fldCharType="end"/>
          </w:r>
          <w:r w:rsidRPr="00597566">
            <w:rPr>
              <w:noProof/>
            </w:rPr>
            <w:t>-</w:t>
          </w:r>
          <w:r w:rsidRPr="00597566">
            <w:rPr>
              <w:bCs/>
              <w:noProof/>
            </w:rPr>
            <w:fldChar w:fldCharType="begin"/>
          </w:r>
          <w:r w:rsidRPr="00597566">
            <w:rPr>
              <w:bCs/>
              <w:noProof/>
            </w:rPr>
            <w:instrText xml:space="preserve"> NUMPAGES  \* Arabic  \* MERGEFORMAT </w:instrText>
          </w:r>
          <w:r w:rsidRPr="00597566">
            <w:rPr>
              <w:bCs/>
              <w:noProof/>
            </w:rPr>
            <w:fldChar w:fldCharType="separate"/>
          </w:r>
          <w:r w:rsidRPr="00597566">
            <w:rPr>
              <w:bCs/>
              <w:noProof/>
            </w:rPr>
            <w:t>1</w:t>
          </w:r>
          <w:r w:rsidRPr="00597566">
            <w:rPr>
              <w:bCs/>
              <w:noProof/>
            </w:rPr>
            <w:fldChar w:fldCharType="end"/>
          </w:r>
        </w:p>
      </w:tc>
    </w:tr>
  </w:tbl>
  <w:p w14:paraId="017AE08C" w14:textId="77777777" w:rsidR="00CC3B20" w:rsidRPr="00597566" w:rsidRDefault="00CC3B2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102B0" w14:textId="77777777" w:rsidR="00CE1A47" w:rsidRDefault="00CE1A4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C3B20" w:rsidRPr="00597566" w14:paraId="3B4347F6" w14:textId="77777777" w:rsidTr="004616AD">
      <w:tc>
        <w:tcPr>
          <w:tcW w:w="2340" w:type="dxa"/>
        </w:tcPr>
        <w:p w14:paraId="26DA7193" w14:textId="77777777" w:rsidR="00CC3B20" w:rsidRPr="00597566" w:rsidRDefault="00CC3B20" w:rsidP="004616AD">
          <w:pPr>
            <w:pStyle w:val="Footer"/>
            <w:rPr>
              <w:noProof/>
              <w:sz w:val="20"/>
            </w:rPr>
          </w:pPr>
          <w:r w:rsidRPr="00597566">
            <w:rPr>
              <w:noProof/>
              <w:sz w:val="20"/>
            </w:rPr>
            <w:t>7/19/16│PH</w:t>
          </w:r>
        </w:p>
      </w:tc>
      <w:tc>
        <w:tcPr>
          <w:tcW w:w="7956" w:type="dxa"/>
        </w:tcPr>
        <w:p w14:paraId="2543EC98" w14:textId="77777777" w:rsidR="00CC3B20" w:rsidRPr="00597566" w:rsidRDefault="00CC3B20" w:rsidP="004616AD">
          <w:pPr>
            <w:pStyle w:val="Footer"/>
            <w:jc w:val="right"/>
          </w:pPr>
          <w:r w:rsidRPr="00597566">
            <w:t>Military Leave of Absence – GCBDE/GDBDE</w:t>
          </w:r>
        </w:p>
        <w:p w14:paraId="39D8550B" w14:textId="77777777" w:rsidR="00CC3B20" w:rsidRPr="00597566" w:rsidRDefault="00CC3B20" w:rsidP="004616AD">
          <w:pPr>
            <w:pStyle w:val="Footer"/>
            <w:jc w:val="right"/>
            <w:rPr>
              <w:sz w:val="20"/>
            </w:rPr>
          </w:pPr>
          <w:r w:rsidRPr="00597566">
            <w:rPr>
              <w:bCs/>
              <w:noProof/>
            </w:rPr>
            <w:fldChar w:fldCharType="begin"/>
          </w:r>
          <w:r w:rsidRPr="00597566">
            <w:rPr>
              <w:bCs/>
              <w:noProof/>
            </w:rPr>
            <w:instrText xml:space="preserve"> PAGE  \* Arabic  \* MERGEFORMAT </w:instrText>
          </w:r>
          <w:r w:rsidRPr="00597566">
            <w:rPr>
              <w:bCs/>
              <w:noProof/>
            </w:rPr>
            <w:fldChar w:fldCharType="separate"/>
          </w:r>
          <w:r w:rsidRPr="00597566">
            <w:rPr>
              <w:bCs/>
              <w:noProof/>
            </w:rPr>
            <w:t>1</w:t>
          </w:r>
          <w:r w:rsidRPr="00597566">
            <w:rPr>
              <w:bCs/>
              <w:noProof/>
            </w:rPr>
            <w:fldChar w:fldCharType="end"/>
          </w:r>
          <w:r w:rsidRPr="00597566">
            <w:rPr>
              <w:noProof/>
            </w:rPr>
            <w:t>-</w:t>
          </w:r>
          <w:r w:rsidRPr="00597566">
            <w:rPr>
              <w:bCs/>
              <w:noProof/>
            </w:rPr>
            <w:fldChar w:fldCharType="begin"/>
          </w:r>
          <w:r w:rsidRPr="00597566">
            <w:rPr>
              <w:bCs/>
              <w:noProof/>
            </w:rPr>
            <w:instrText xml:space="preserve"> NUMPAGES  \* Arabic  \* MERGEFORMAT </w:instrText>
          </w:r>
          <w:r w:rsidRPr="00597566">
            <w:rPr>
              <w:bCs/>
              <w:noProof/>
            </w:rPr>
            <w:fldChar w:fldCharType="separate"/>
          </w:r>
          <w:r w:rsidRPr="00597566">
            <w:rPr>
              <w:bCs/>
              <w:noProof/>
            </w:rPr>
            <w:t>1</w:t>
          </w:r>
          <w:r w:rsidRPr="00597566">
            <w:rPr>
              <w:bCs/>
              <w:noProof/>
            </w:rPr>
            <w:fldChar w:fldCharType="end"/>
          </w:r>
        </w:p>
      </w:tc>
    </w:tr>
  </w:tbl>
  <w:p w14:paraId="1F2C6E5A" w14:textId="77777777" w:rsidR="00CC3B20" w:rsidRPr="00597566" w:rsidRDefault="00CC3B20"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C3B20" w:rsidRPr="00597566" w14:paraId="6C5A29DD" w14:textId="77777777" w:rsidTr="004616AD">
      <w:tc>
        <w:tcPr>
          <w:tcW w:w="2340" w:type="dxa"/>
        </w:tcPr>
        <w:p w14:paraId="338F4C76" w14:textId="77777777" w:rsidR="00CC3B20" w:rsidRPr="00597566" w:rsidRDefault="00CC3B20" w:rsidP="004616AD">
          <w:pPr>
            <w:pStyle w:val="Footer"/>
            <w:rPr>
              <w:noProof/>
              <w:sz w:val="20"/>
            </w:rPr>
          </w:pPr>
          <w:r w:rsidRPr="00597566">
            <w:rPr>
              <w:noProof/>
              <w:sz w:val="20"/>
            </w:rPr>
            <w:t>7/19/16│PH</w:t>
          </w:r>
        </w:p>
      </w:tc>
      <w:tc>
        <w:tcPr>
          <w:tcW w:w="7956" w:type="dxa"/>
        </w:tcPr>
        <w:p w14:paraId="1B7528E8" w14:textId="77777777" w:rsidR="00CC3B20" w:rsidRPr="00597566" w:rsidRDefault="00CC3B20" w:rsidP="004616AD">
          <w:pPr>
            <w:pStyle w:val="Footer"/>
            <w:jc w:val="right"/>
          </w:pPr>
          <w:r w:rsidRPr="00597566">
            <w:t>Military Leave of Absence – GCBDE/GDBDE</w:t>
          </w:r>
        </w:p>
        <w:p w14:paraId="78AEFE2E" w14:textId="77777777" w:rsidR="00CC3B20" w:rsidRPr="00597566" w:rsidRDefault="00CC3B20" w:rsidP="004616AD">
          <w:pPr>
            <w:pStyle w:val="Footer"/>
            <w:jc w:val="right"/>
            <w:rPr>
              <w:sz w:val="20"/>
            </w:rPr>
          </w:pPr>
          <w:r w:rsidRPr="00597566">
            <w:rPr>
              <w:bCs/>
              <w:noProof/>
            </w:rPr>
            <w:fldChar w:fldCharType="begin"/>
          </w:r>
          <w:r w:rsidRPr="00597566">
            <w:rPr>
              <w:bCs/>
              <w:noProof/>
            </w:rPr>
            <w:instrText xml:space="preserve"> PAGE  \* Arabic  \* MERGEFORMAT </w:instrText>
          </w:r>
          <w:r w:rsidRPr="00597566">
            <w:rPr>
              <w:bCs/>
              <w:noProof/>
            </w:rPr>
            <w:fldChar w:fldCharType="separate"/>
          </w:r>
          <w:r w:rsidRPr="00597566">
            <w:rPr>
              <w:bCs/>
              <w:noProof/>
            </w:rPr>
            <w:t>1</w:t>
          </w:r>
          <w:r w:rsidRPr="00597566">
            <w:rPr>
              <w:bCs/>
              <w:noProof/>
            </w:rPr>
            <w:fldChar w:fldCharType="end"/>
          </w:r>
          <w:r w:rsidRPr="00597566">
            <w:rPr>
              <w:noProof/>
            </w:rPr>
            <w:t>-</w:t>
          </w:r>
          <w:r w:rsidRPr="00597566">
            <w:rPr>
              <w:bCs/>
              <w:noProof/>
            </w:rPr>
            <w:fldChar w:fldCharType="begin"/>
          </w:r>
          <w:r w:rsidRPr="00597566">
            <w:rPr>
              <w:bCs/>
              <w:noProof/>
            </w:rPr>
            <w:instrText xml:space="preserve"> NUMPAGES  \* Arabic  \* MERGEFORMAT </w:instrText>
          </w:r>
          <w:r w:rsidRPr="00597566">
            <w:rPr>
              <w:bCs/>
              <w:noProof/>
            </w:rPr>
            <w:fldChar w:fldCharType="separate"/>
          </w:r>
          <w:r w:rsidRPr="00597566">
            <w:rPr>
              <w:bCs/>
              <w:noProof/>
            </w:rPr>
            <w:t>1</w:t>
          </w:r>
          <w:r w:rsidRPr="00597566">
            <w:rPr>
              <w:bCs/>
              <w:noProof/>
            </w:rPr>
            <w:fldChar w:fldCharType="end"/>
          </w:r>
        </w:p>
      </w:tc>
    </w:tr>
  </w:tbl>
  <w:p w14:paraId="5A04E690" w14:textId="77777777" w:rsidR="00CC3B20" w:rsidRPr="00597566" w:rsidRDefault="00CC3B2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BBD14" w14:textId="77777777" w:rsidR="005B762A" w:rsidRDefault="005B762A" w:rsidP="00FC3907">
      <w:r>
        <w:separator/>
      </w:r>
    </w:p>
  </w:footnote>
  <w:footnote w:type="continuationSeparator" w:id="0">
    <w:p w14:paraId="06DFAEF3" w14:textId="77777777" w:rsidR="005B762A" w:rsidRDefault="005B762A" w:rsidP="00FC3907">
      <w:r>
        <w:continuationSeparator/>
      </w:r>
    </w:p>
  </w:footnote>
  <w:footnote w:id="1">
    <w:p w14:paraId="343C70AA" w14:textId="6510817F" w:rsidR="00CC3B20" w:rsidRDefault="00CC3B20">
      <w:pPr>
        <w:pStyle w:val="FootnoteText"/>
      </w:pPr>
      <w:r>
        <w:rPr>
          <w:rStyle w:val="FootnoteReference"/>
        </w:rPr>
        <w:footnoteRef/>
      </w:r>
      <w:r>
        <w:t xml:space="preserve"> </w:t>
      </w:r>
      <w:r w:rsidRPr="00597566">
        <w:t xml:space="preserve">“Duty” means the performance of duty on a voluntary or involuntary basis in a uniformed service and includes active duty </w:t>
      </w:r>
      <w:r w:rsidR="00676CD5" w:rsidRPr="00597566">
        <w:t xml:space="preserve">or </w:t>
      </w:r>
      <w:r w:rsidRPr="00597566">
        <w:t xml:space="preserve">inactive duty training, </w:t>
      </w:r>
      <w:r w:rsidR="00676CD5" w:rsidRPr="00597566">
        <w:t xml:space="preserve">state active duty, </w:t>
      </w:r>
      <w:r w:rsidRPr="00597566">
        <w:t>U.S. National Guard duty</w:t>
      </w:r>
      <w:r w:rsidR="00676CD5" w:rsidRPr="00597566">
        <w:t>, U.S. Armed Forces duty</w:t>
      </w:r>
      <w:r w:rsidRPr="00597566">
        <w:t xml:space="preserve"> and absence to determine fitness for duty.</w:t>
      </w:r>
    </w:p>
  </w:footnote>
  <w:footnote w:id="2">
    <w:p w14:paraId="0DBB0699" w14:textId="4544DB00" w:rsidR="00CC3B20" w:rsidRDefault="00CC3B20">
      <w:pPr>
        <w:pStyle w:val="FootnoteText"/>
      </w:pPr>
      <w:r>
        <w:rPr>
          <w:rStyle w:val="FootnoteReference"/>
        </w:rPr>
        <w:footnoteRef/>
      </w:r>
      <w:r>
        <w:t xml:space="preserve"> </w:t>
      </w:r>
      <w:r w:rsidRPr="00597566">
        <w:t xml:space="preserve">“Uniformed service” means </w:t>
      </w:r>
      <w:r w:rsidR="00DC22BA" w:rsidRPr="00597566">
        <w:t xml:space="preserve">being a member of </w:t>
      </w:r>
      <w:r w:rsidRPr="00597566">
        <w:t>the U.S. National Guard</w:t>
      </w:r>
      <w:r w:rsidR="00DC22BA" w:rsidRPr="00597566">
        <w:t>, National Guard Reserve or of any reserve component of the U.S. Armed Forces</w:t>
      </w:r>
      <w:r w:rsidRPr="00597566">
        <w:t xml:space="preserve">, </w:t>
      </w:r>
      <w:r w:rsidR="00DC22BA" w:rsidRPr="00597566">
        <w:t xml:space="preserve">or of </w:t>
      </w:r>
      <w:r w:rsidRPr="00597566">
        <w:t xml:space="preserve">the commissioned corps of the </w:t>
      </w:r>
      <w:r w:rsidR="00DC22BA" w:rsidRPr="00597566">
        <w:t xml:space="preserve">U.S. </w:t>
      </w:r>
      <w:r w:rsidRPr="00597566">
        <w:t>Public Health Service and any other category of persons designated by the President in time of war or national emergency.</w:t>
      </w:r>
    </w:p>
  </w:footnote>
  <w:footnote w:id="3">
    <w:p w14:paraId="6913A154" w14:textId="77777777" w:rsidR="00DD352A" w:rsidRPr="00597566" w:rsidRDefault="00DD352A" w:rsidP="00DD352A">
      <w:pPr>
        <w:pStyle w:val="FootnoteText"/>
      </w:pPr>
      <w:r w:rsidRPr="00597566">
        <w:rPr>
          <w:rStyle w:val="FootnoteReference"/>
        </w:rPr>
        <w:footnoteRef/>
      </w:r>
      <w:r w:rsidRPr="00597566">
        <w:t xml:space="preserve"> </w:t>
      </w:r>
      <w:bookmarkStart w:id="1" w:name="_Hlk203632843"/>
      <w:r w:rsidRPr="00597566">
        <w:t>The employee may use military leave without loss of time, pay or regular leave if the employee has been employed by the district for six months or more.</w:t>
      </w:r>
    </w:p>
    <w:bookmarkEnd w:id="1"/>
  </w:footnote>
  <w:footnote w:id="4">
    <w:p w14:paraId="5635F1C2" w14:textId="77777777" w:rsidR="00DD352A" w:rsidRPr="0013531D" w:rsidRDefault="00DD352A" w:rsidP="00DD352A">
      <w:pPr>
        <w:pStyle w:val="FootnoteText"/>
        <w:rPr>
          <w:highlight w:val="lightGray"/>
        </w:rPr>
      </w:pPr>
      <w:r w:rsidRPr="00597566">
        <w:rPr>
          <w:rStyle w:val="FootnoteReference"/>
        </w:rPr>
        <w:footnoteRef/>
      </w:r>
      <w:r w:rsidRPr="00597566">
        <w:t xml:space="preserve"> “Training year” means the federal fiscal year for any </w:t>
      </w:r>
      <w:proofErr w:type="gramStart"/>
      <w:r w:rsidRPr="00597566">
        <w:t>particular unit</w:t>
      </w:r>
      <w:proofErr w:type="gramEnd"/>
      <w:r w:rsidRPr="00597566">
        <w:t xml:space="preserve"> of the National Guard or a reserve component.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8EB06" w14:textId="77777777" w:rsidR="00CE1A47" w:rsidRPr="003F76C8" w:rsidRDefault="00CE1A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E740C" w14:textId="1A6A5A4A" w:rsidR="00CE1A47" w:rsidRPr="00597566" w:rsidRDefault="000E21B0">
    <w:pPr>
      <w:pStyle w:val="Header"/>
    </w:pPr>
    <w:r>
      <w:rPr>
        <w:noProof/>
      </w:rPr>
      <mc:AlternateContent>
        <mc:Choice Requires="wps">
          <w:drawing>
            <wp:anchor distT="0" distB="0" distL="114300" distR="114300" simplePos="0" relativeHeight="251659264" behindDoc="1" locked="0" layoutInCell="1" allowOverlap="1" wp14:anchorId="7D168DF7" wp14:editId="655128B3">
              <wp:simplePos x="0" y="0"/>
              <wp:positionH relativeFrom="margin">
                <wp:align>left</wp:align>
              </wp:positionH>
              <wp:positionV relativeFrom="margin">
                <wp:align>top</wp:align>
              </wp:positionV>
              <wp:extent cx="7955280" cy="5943600"/>
              <wp:effectExtent l="0" t="0" r="3810" b="0"/>
              <wp:wrapNone/>
              <wp:docPr id="2" name="WatermarkProposed"/>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C255F6" w14:textId="77777777" w:rsidR="000E21B0" w:rsidRDefault="000E21B0" w:rsidP="00B52692">
                          <w:pPr>
                            <w:pStyle w:val="WatermarkProposed"/>
                          </w:pPr>
                          <w:r>
                            <w:t>P</w:t>
                          </w:r>
                        </w:p>
                        <w:p w14:paraId="34688A0C" w14:textId="77777777" w:rsidR="000E21B0" w:rsidRDefault="000E21B0" w:rsidP="00B52692">
                          <w:pPr>
                            <w:pStyle w:val="WatermarkProposed"/>
                            <w:ind w:left="1152"/>
                          </w:pPr>
                          <w:r>
                            <w:t>R</w:t>
                          </w:r>
                        </w:p>
                        <w:p w14:paraId="2984B35F" w14:textId="77777777" w:rsidR="000E21B0" w:rsidRDefault="000E21B0" w:rsidP="00B52692">
                          <w:pPr>
                            <w:pStyle w:val="WatermarkProposed"/>
                            <w:ind w:left="2304"/>
                          </w:pPr>
                          <w:r>
                            <w:t>O</w:t>
                          </w:r>
                        </w:p>
                        <w:p w14:paraId="62E20226" w14:textId="77777777" w:rsidR="000E21B0" w:rsidRDefault="000E21B0" w:rsidP="00B52692">
                          <w:pPr>
                            <w:pStyle w:val="WatermarkProposed"/>
                            <w:ind w:left="3456"/>
                          </w:pPr>
                          <w:r>
                            <w:t>P</w:t>
                          </w:r>
                        </w:p>
                        <w:p w14:paraId="13796651" w14:textId="77777777" w:rsidR="000E21B0" w:rsidRDefault="000E21B0" w:rsidP="00B52692">
                          <w:pPr>
                            <w:pStyle w:val="WatermarkProposed"/>
                            <w:ind w:left="4608"/>
                          </w:pPr>
                          <w:r>
                            <w:t>O</w:t>
                          </w:r>
                        </w:p>
                        <w:p w14:paraId="3356E43A" w14:textId="77777777" w:rsidR="000E21B0" w:rsidRDefault="000E21B0" w:rsidP="00B52692">
                          <w:pPr>
                            <w:pStyle w:val="WatermarkProposed"/>
                            <w:ind w:left="5760"/>
                          </w:pPr>
                          <w:r>
                            <w:t>S</w:t>
                          </w:r>
                        </w:p>
                        <w:p w14:paraId="277E64C1" w14:textId="77777777" w:rsidR="000E21B0" w:rsidRDefault="000E21B0" w:rsidP="00B52692">
                          <w:pPr>
                            <w:pStyle w:val="WatermarkProposed"/>
                            <w:ind w:left="6912"/>
                          </w:pPr>
                          <w:r>
                            <w:t>E</w:t>
                          </w:r>
                        </w:p>
                        <w:p w14:paraId="36EC183B" w14:textId="77777777" w:rsidR="000E21B0" w:rsidRDefault="000E21B0" w:rsidP="00B52692">
                          <w:pPr>
                            <w:pStyle w:val="WatermarkProposed"/>
                            <w:ind w:left="8064"/>
                          </w:pPr>
                          <w:r>
                            <w:t>D</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168DF7" id="_x0000_t202" coordsize="21600,21600" o:spt="202" path="m,l,21600r21600,l21600,xe">
              <v:stroke joinstyle="miter"/>
              <v:path gradientshapeok="t" o:connecttype="rect"/>
            </v:shapetype>
            <v:shape id="WatermarkProposed" o:spid="_x0000_s1026"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" filled="f" stroked="f" strokeweight=".5pt">
              <v:textbox style="layout-flow:vertical;mso-layout-flow-alt:bottom-to-top">
                <w:txbxContent>
                  <w:p w14:paraId="42C255F6" w14:textId="77777777" w:rsidR="000E21B0" w:rsidRDefault="000E21B0" w:rsidP="00B52692">
                    <w:pPr>
                      <w:pStyle w:val="WatermarkProposed"/>
                    </w:pPr>
                    <w:r>
                      <w:t>P</w:t>
                    </w:r>
                  </w:p>
                  <w:p w14:paraId="34688A0C" w14:textId="77777777" w:rsidR="000E21B0" w:rsidRDefault="000E21B0" w:rsidP="00B52692">
                    <w:pPr>
                      <w:pStyle w:val="WatermarkProposed"/>
                      <w:ind w:left="1152"/>
                    </w:pPr>
                    <w:r>
                      <w:t>R</w:t>
                    </w:r>
                  </w:p>
                  <w:p w14:paraId="2984B35F" w14:textId="77777777" w:rsidR="000E21B0" w:rsidRDefault="000E21B0" w:rsidP="00B52692">
                    <w:pPr>
                      <w:pStyle w:val="WatermarkProposed"/>
                      <w:ind w:left="2304"/>
                    </w:pPr>
                    <w:r>
                      <w:t>O</w:t>
                    </w:r>
                  </w:p>
                  <w:p w14:paraId="62E20226" w14:textId="77777777" w:rsidR="000E21B0" w:rsidRDefault="000E21B0" w:rsidP="00B52692">
                    <w:pPr>
                      <w:pStyle w:val="WatermarkProposed"/>
                      <w:ind w:left="3456"/>
                    </w:pPr>
                    <w:r>
                      <w:t>P</w:t>
                    </w:r>
                  </w:p>
                  <w:p w14:paraId="13796651" w14:textId="77777777" w:rsidR="000E21B0" w:rsidRDefault="000E21B0" w:rsidP="00B52692">
                    <w:pPr>
                      <w:pStyle w:val="WatermarkProposed"/>
                      <w:ind w:left="4608"/>
                    </w:pPr>
                    <w:r>
                      <w:t>O</w:t>
                    </w:r>
                  </w:p>
                  <w:p w14:paraId="3356E43A" w14:textId="77777777" w:rsidR="000E21B0" w:rsidRDefault="000E21B0" w:rsidP="00B52692">
                    <w:pPr>
                      <w:pStyle w:val="WatermarkProposed"/>
                      <w:ind w:left="5760"/>
                    </w:pPr>
                    <w:r>
                      <w:t>S</w:t>
                    </w:r>
                  </w:p>
                  <w:p w14:paraId="277E64C1" w14:textId="77777777" w:rsidR="000E21B0" w:rsidRDefault="000E21B0" w:rsidP="00B52692">
                    <w:pPr>
                      <w:pStyle w:val="WatermarkProposed"/>
                      <w:ind w:left="6912"/>
                    </w:pPr>
                    <w:r>
                      <w:t>E</w:t>
                    </w:r>
                  </w:p>
                  <w:p w14:paraId="36EC183B" w14:textId="77777777" w:rsidR="000E21B0" w:rsidRDefault="000E21B0" w:rsidP="00B52692">
                    <w:pPr>
                      <w:pStyle w:val="WatermarkProposed"/>
                      <w:ind w:left="8064"/>
                    </w:pPr>
                    <w:r>
                      <w:t>D</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5F3AF" w14:textId="77777777" w:rsidR="00CE1A47" w:rsidRDefault="00CE1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03779817">
    <w:abstractNumId w:val="7"/>
  </w:num>
  <w:num w:numId="2" w16cid:durableId="22245825">
    <w:abstractNumId w:val="4"/>
  </w:num>
  <w:num w:numId="3" w16cid:durableId="1861316376">
    <w:abstractNumId w:val="4"/>
  </w:num>
  <w:num w:numId="4" w16cid:durableId="137576101">
    <w:abstractNumId w:val="3"/>
  </w:num>
  <w:num w:numId="5" w16cid:durableId="681201597">
    <w:abstractNumId w:val="3"/>
  </w:num>
  <w:num w:numId="6" w16cid:durableId="177811311">
    <w:abstractNumId w:val="2"/>
  </w:num>
  <w:num w:numId="7" w16cid:durableId="526913455">
    <w:abstractNumId w:val="2"/>
  </w:num>
  <w:num w:numId="8" w16cid:durableId="2087913664">
    <w:abstractNumId w:val="1"/>
  </w:num>
  <w:num w:numId="9" w16cid:durableId="1926842501">
    <w:abstractNumId w:val="1"/>
  </w:num>
  <w:num w:numId="10" w16cid:durableId="1389760686">
    <w:abstractNumId w:val="0"/>
  </w:num>
  <w:num w:numId="11" w16cid:durableId="341013444">
    <w:abstractNumId w:val="0"/>
  </w:num>
  <w:num w:numId="12" w16cid:durableId="646202246">
    <w:abstractNumId w:val="6"/>
  </w:num>
  <w:num w:numId="13" w16cid:durableId="1838038453">
    <w:abstractNumId w:val="9"/>
  </w:num>
  <w:num w:numId="14" w16cid:durableId="618492817">
    <w:abstractNumId w:val="8"/>
  </w:num>
  <w:num w:numId="15" w16cid:durableId="1859342748">
    <w:abstractNumId w:val="5"/>
  </w:num>
  <w:num w:numId="16" w16cid:durableId="12947504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3C5E"/>
    <w:rsid w:val="00013D56"/>
    <w:rsid w:val="000143A2"/>
    <w:rsid w:val="00017254"/>
    <w:rsid w:val="00026726"/>
    <w:rsid w:val="000376CE"/>
    <w:rsid w:val="0004528B"/>
    <w:rsid w:val="000511CD"/>
    <w:rsid w:val="00052BE8"/>
    <w:rsid w:val="00056E97"/>
    <w:rsid w:val="000577C7"/>
    <w:rsid w:val="0006118B"/>
    <w:rsid w:val="000617BB"/>
    <w:rsid w:val="00061FB1"/>
    <w:rsid w:val="0007087A"/>
    <w:rsid w:val="00074380"/>
    <w:rsid w:val="00083481"/>
    <w:rsid w:val="00093AF4"/>
    <w:rsid w:val="00093EC6"/>
    <w:rsid w:val="00095F9B"/>
    <w:rsid w:val="00096B9C"/>
    <w:rsid w:val="000A132A"/>
    <w:rsid w:val="000A2FE8"/>
    <w:rsid w:val="000A6A9E"/>
    <w:rsid w:val="000B092A"/>
    <w:rsid w:val="000B75D8"/>
    <w:rsid w:val="000C25BD"/>
    <w:rsid w:val="000D522B"/>
    <w:rsid w:val="000E21B0"/>
    <w:rsid w:val="000F261A"/>
    <w:rsid w:val="000F30CA"/>
    <w:rsid w:val="000F710F"/>
    <w:rsid w:val="000F7910"/>
    <w:rsid w:val="00123136"/>
    <w:rsid w:val="001243F0"/>
    <w:rsid w:val="00125E1F"/>
    <w:rsid w:val="00131C84"/>
    <w:rsid w:val="0013531D"/>
    <w:rsid w:val="00137065"/>
    <w:rsid w:val="00143097"/>
    <w:rsid w:val="001479B1"/>
    <w:rsid w:val="00151EC6"/>
    <w:rsid w:val="00156EA7"/>
    <w:rsid w:val="0018025F"/>
    <w:rsid w:val="00195894"/>
    <w:rsid w:val="001A5BBB"/>
    <w:rsid w:val="001B55AD"/>
    <w:rsid w:val="001C1D43"/>
    <w:rsid w:val="001C3978"/>
    <w:rsid w:val="001C42AE"/>
    <w:rsid w:val="001C5C15"/>
    <w:rsid w:val="001E1260"/>
    <w:rsid w:val="001E7AE7"/>
    <w:rsid w:val="001F4D2D"/>
    <w:rsid w:val="0021369D"/>
    <w:rsid w:val="00217190"/>
    <w:rsid w:val="00221BC1"/>
    <w:rsid w:val="00224022"/>
    <w:rsid w:val="00246025"/>
    <w:rsid w:val="0025473A"/>
    <w:rsid w:val="0028031C"/>
    <w:rsid w:val="00280B93"/>
    <w:rsid w:val="002821D2"/>
    <w:rsid w:val="00284A5E"/>
    <w:rsid w:val="00286D2D"/>
    <w:rsid w:val="002A7657"/>
    <w:rsid w:val="002C77C7"/>
    <w:rsid w:val="002D73D3"/>
    <w:rsid w:val="002F4D33"/>
    <w:rsid w:val="002F7C67"/>
    <w:rsid w:val="00305489"/>
    <w:rsid w:val="00306B03"/>
    <w:rsid w:val="00311B2D"/>
    <w:rsid w:val="00320F03"/>
    <w:rsid w:val="003233D7"/>
    <w:rsid w:val="003234E0"/>
    <w:rsid w:val="00346329"/>
    <w:rsid w:val="00354BAF"/>
    <w:rsid w:val="00355C5E"/>
    <w:rsid w:val="00363573"/>
    <w:rsid w:val="00363AE7"/>
    <w:rsid w:val="00367B06"/>
    <w:rsid w:val="00377234"/>
    <w:rsid w:val="003804C0"/>
    <w:rsid w:val="00385E10"/>
    <w:rsid w:val="003915B0"/>
    <w:rsid w:val="003B3329"/>
    <w:rsid w:val="003E6E0C"/>
    <w:rsid w:val="003F2402"/>
    <w:rsid w:val="003F6B88"/>
    <w:rsid w:val="003F76C8"/>
    <w:rsid w:val="003F7B66"/>
    <w:rsid w:val="00415660"/>
    <w:rsid w:val="00415A69"/>
    <w:rsid w:val="004347FA"/>
    <w:rsid w:val="00435DC2"/>
    <w:rsid w:val="00440997"/>
    <w:rsid w:val="00443C38"/>
    <w:rsid w:val="00453EF5"/>
    <w:rsid w:val="00455739"/>
    <w:rsid w:val="00456577"/>
    <w:rsid w:val="00472B26"/>
    <w:rsid w:val="00484B66"/>
    <w:rsid w:val="00490A75"/>
    <w:rsid w:val="0049277F"/>
    <w:rsid w:val="00493E7F"/>
    <w:rsid w:val="00494174"/>
    <w:rsid w:val="004C1EE4"/>
    <w:rsid w:val="004C2F7D"/>
    <w:rsid w:val="004E3582"/>
    <w:rsid w:val="004E38E5"/>
    <w:rsid w:val="004F53EB"/>
    <w:rsid w:val="005130E3"/>
    <w:rsid w:val="005133E1"/>
    <w:rsid w:val="005174ED"/>
    <w:rsid w:val="0051750D"/>
    <w:rsid w:val="00524F11"/>
    <w:rsid w:val="005342BD"/>
    <w:rsid w:val="00534373"/>
    <w:rsid w:val="00536354"/>
    <w:rsid w:val="00537EA9"/>
    <w:rsid w:val="00543474"/>
    <w:rsid w:val="00557E6B"/>
    <w:rsid w:val="00573A5C"/>
    <w:rsid w:val="00581FA6"/>
    <w:rsid w:val="00597566"/>
    <w:rsid w:val="005A0A48"/>
    <w:rsid w:val="005A4EEB"/>
    <w:rsid w:val="005A6BFA"/>
    <w:rsid w:val="005B762A"/>
    <w:rsid w:val="005C1564"/>
    <w:rsid w:val="005D217A"/>
    <w:rsid w:val="005D74F6"/>
    <w:rsid w:val="005E06B3"/>
    <w:rsid w:val="005E3F0A"/>
    <w:rsid w:val="005F00AE"/>
    <w:rsid w:val="005F3316"/>
    <w:rsid w:val="0060463A"/>
    <w:rsid w:val="0061672C"/>
    <w:rsid w:val="00620A00"/>
    <w:rsid w:val="00621D2B"/>
    <w:rsid w:val="0062603D"/>
    <w:rsid w:val="00634B0E"/>
    <w:rsid w:val="00645006"/>
    <w:rsid w:val="00646D38"/>
    <w:rsid w:val="00660AC5"/>
    <w:rsid w:val="00662E7C"/>
    <w:rsid w:val="006705C2"/>
    <w:rsid w:val="006728D3"/>
    <w:rsid w:val="00676CD5"/>
    <w:rsid w:val="00684386"/>
    <w:rsid w:val="00685AAF"/>
    <w:rsid w:val="00695030"/>
    <w:rsid w:val="00695431"/>
    <w:rsid w:val="0069687A"/>
    <w:rsid w:val="00697041"/>
    <w:rsid w:val="006A0245"/>
    <w:rsid w:val="006B088B"/>
    <w:rsid w:val="006E544D"/>
    <w:rsid w:val="006E5941"/>
    <w:rsid w:val="006E71CD"/>
    <w:rsid w:val="00700E92"/>
    <w:rsid w:val="00714D0F"/>
    <w:rsid w:val="007171D8"/>
    <w:rsid w:val="00726666"/>
    <w:rsid w:val="0073390E"/>
    <w:rsid w:val="00734CF6"/>
    <w:rsid w:val="00737933"/>
    <w:rsid w:val="007405D2"/>
    <w:rsid w:val="00740FF4"/>
    <w:rsid w:val="007443E2"/>
    <w:rsid w:val="007519A6"/>
    <w:rsid w:val="007529E1"/>
    <w:rsid w:val="00752B2D"/>
    <w:rsid w:val="00754B98"/>
    <w:rsid w:val="00763A99"/>
    <w:rsid w:val="00782930"/>
    <w:rsid w:val="00784DE2"/>
    <w:rsid w:val="007A0E9B"/>
    <w:rsid w:val="007A3694"/>
    <w:rsid w:val="007A7F92"/>
    <w:rsid w:val="007B228A"/>
    <w:rsid w:val="007B384B"/>
    <w:rsid w:val="007D02D3"/>
    <w:rsid w:val="007D50D8"/>
    <w:rsid w:val="007E3300"/>
    <w:rsid w:val="007E4701"/>
    <w:rsid w:val="007F0455"/>
    <w:rsid w:val="008072E8"/>
    <w:rsid w:val="008073B2"/>
    <w:rsid w:val="008106B9"/>
    <w:rsid w:val="008152CF"/>
    <w:rsid w:val="00824B84"/>
    <w:rsid w:val="00830114"/>
    <w:rsid w:val="00830ED8"/>
    <w:rsid w:val="00832D89"/>
    <w:rsid w:val="00835AD6"/>
    <w:rsid w:val="00844CD8"/>
    <w:rsid w:val="00850A44"/>
    <w:rsid w:val="00870BED"/>
    <w:rsid w:val="00882C0D"/>
    <w:rsid w:val="00890313"/>
    <w:rsid w:val="008A156E"/>
    <w:rsid w:val="008A2D8F"/>
    <w:rsid w:val="008A3BAF"/>
    <w:rsid w:val="008B0925"/>
    <w:rsid w:val="008B6FAC"/>
    <w:rsid w:val="008B730B"/>
    <w:rsid w:val="008C690D"/>
    <w:rsid w:val="008D663E"/>
    <w:rsid w:val="008E1CAE"/>
    <w:rsid w:val="008F4D57"/>
    <w:rsid w:val="00907FA5"/>
    <w:rsid w:val="00912BAC"/>
    <w:rsid w:val="00923DFB"/>
    <w:rsid w:val="00930599"/>
    <w:rsid w:val="009317A1"/>
    <w:rsid w:val="00940E79"/>
    <w:rsid w:val="009418C2"/>
    <w:rsid w:val="009510E8"/>
    <w:rsid w:val="009510FB"/>
    <w:rsid w:val="00963266"/>
    <w:rsid w:val="009657E7"/>
    <w:rsid w:val="00972985"/>
    <w:rsid w:val="00976D56"/>
    <w:rsid w:val="00976F42"/>
    <w:rsid w:val="00977D62"/>
    <w:rsid w:val="009816CA"/>
    <w:rsid w:val="00982B4E"/>
    <w:rsid w:val="009854C4"/>
    <w:rsid w:val="009A42F6"/>
    <w:rsid w:val="009B1678"/>
    <w:rsid w:val="009C4D2A"/>
    <w:rsid w:val="009D0B16"/>
    <w:rsid w:val="009D427B"/>
    <w:rsid w:val="009D6C26"/>
    <w:rsid w:val="009E4520"/>
    <w:rsid w:val="009F2011"/>
    <w:rsid w:val="009F24C0"/>
    <w:rsid w:val="009F292A"/>
    <w:rsid w:val="009F4F41"/>
    <w:rsid w:val="009F694C"/>
    <w:rsid w:val="009F7274"/>
    <w:rsid w:val="00A15392"/>
    <w:rsid w:val="00A207A8"/>
    <w:rsid w:val="00A20986"/>
    <w:rsid w:val="00A268EF"/>
    <w:rsid w:val="00A312B5"/>
    <w:rsid w:val="00A42D9F"/>
    <w:rsid w:val="00A546E9"/>
    <w:rsid w:val="00A61DAA"/>
    <w:rsid w:val="00A7204A"/>
    <w:rsid w:val="00A967F8"/>
    <w:rsid w:val="00AC3EDD"/>
    <w:rsid w:val="00AC5141"/>
    <w:rsid w:val="00AC6972"/>
    <w:rsid w:val="00AE00EA"/>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2A71"/>
    <w:rsid w:val="00B76A55"/>
    <w:rsid w:val="00B93330"/>
    <w:rsid w:val="00B94A90"/>
    <w:rsid w:val="00BA02CC"/>
    <w:rsid w:val="00BA2986"/>
    <w:rsid w:val="00BA4115"/>
    <w:rsid w:val="00BA54B2"/>
    <w:rsid w:val="00BB2371"/>
    <w:rsid w:val="00BC6D2F"/>
    <w:rsid w:val="00BD65DF"/>
    <w:rsid w:val="00BE44C8"/>
    <w:rsid w:val="00BE450C"/>
    <w:rsid w:val="00BE5ECB"/>
    <w:rsid w:val="00BF1386"/>
    <w:rsid w:val="00BF7A19"/>
    <w:rsid w:val="00C04F63"/>
    <w:rsid w:val="00C11E0F"/>
    <w:rsid w:val="00C21664"/>
    <w:rsid w:val="00C21FE2"/>
    <w:rsid w:val="00C25368"/>
    <w:rsid w:val="00C33AB4"/>
    <w:rsid w:val="00C42489"/>
    <w:rsid w:val="00C430FD"/>
    <w:rsid w:val="00C60EF6"/>
    <w:rsid w:val="00C71516"/>
    <w:rsid w:val="00C71856"/>
    <w:rsid w:val="00C734FD"/>
    <w:rsid w:val="00C82AB8"/>
    <w:rsid w:val="00CB18D4"/>
    <w:rsid w:val="00CB5D00"/>
    <w:rsid w:val="00CC11B1"/>
    <w:rsid w:val="00CC2690"/>
    <w:rsid w:val="00CC3B20"/>
    <w:rsid w:val="00CC7D46"/>
    <w:rsid w:val="00CD1191"/>
    <w:rsid w:val="00CE1A47"/>
    <w:rsid w:val="00CE3549"/>
    <w:rsid w:val="00CE482D"/>
    <w:rsid w:val="00CF6EF5"/>
    <w:rsid w:val="00D01C38"/>
    <w:rsid w:val="00D03735"/>
    <w:rsid w:val="00D2586F"/>
    <w:rsid w:val="00D33F63"/>
    <w:rsid w:val="00D35485"/>
    <w:rsid w:val="00D37878"/>
    <w:rsid w:val="00D4493C"/>
    <w:rsid w:val="00D55ABF"/>
    <w:rsid w:val="00D56552"/>
    <w:rsid w:val="00D65180"/>
    <w:rsid w:val="00D7233F"/>
    <w:rsid w:val="00D7490B"/>
    <w:rsid w:val="00D74A25"/>
    <w:rsid w:val="00D82C4F"/>
    <w:rsid w:val="00D85D37"/>
    <w:rsid w:val="00D87B51"/>
    <w:rsid w:val="00DC22BA"/>
    <w:rsid w:val="00DD352A"/>
    <w:rsid w:val="00DE0C18"/>
    <w:rsid w:val="00DE3B0A"/>
    <w:rsid w:val="00DF0AE6"/>
    <w:rsid w:val="00DF464B"/>
    <w:rsid w:val="00E009DD"/>
    <w:rsid w:val="00E07338"/>
    <w:rsid w:val="00E34F37"/>
    <w:rsid w:val="00E513F6"/>
    <w:rsid w:val="00E53DF5"/>
    <w:rsid w:val="00E56759"/>
    <w:rsid w:val="00E60543"/>
    <w:rsid w:val="00E67AB7"/>
    <w:rsid w:val="00E70BB8"/>
    <w:rsid w:val="00E71A63"/>
    <w:rsid w:val="00E727A4"/>
    <w:rsid w:val="00E81F69"/>
    <w:rsid w:val="00E908E7"/>
    <w:rsid w:val="00E9130E"/>
    <w:rsid w:val="00EA05AE"/>
    <w:rsid w:val="00EA3062"/>
    <w:rsid w:val="00EB2C6B"/>
    <w:rsid w:val="00EC35E9"/>
    <w:rsid w:val="00EC519B"/>
    <w:rsid w:val="00EE49D0"/>
    <w:rsid w:val="00EF573E"/>
    <w:rsid w:val="00F166D4"/>
    <w:rsid w:val="00F16CA1"/>
    <w:rsid w:val="00F45027"/>
    <w:rsid w:val="00F45D0D"/>
    <w:rsid w:val="00F530A4"/>
    <w:rsid w:val="00F704CA"/>
    <w:rsid w:val="00F774CC"/>
    <w:rsid w:val="00F80E45"/>
    <w:rsid w:val="00F91523"/>
    <w:rsid w:val="00F9332D"/>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B5DB3"/>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C3B20"/>
    <w:rPr>
      <w:color w:val="0000FF"/>
      <w:u w:val="single"/>
    </w:rPr>
  </w:style>
  <w:style w:type="paragraph" w:customStyle="1" w:styleId="WatermarkProposed">
    <w:name w:val="_WatermarkProposed"/>
    <w:basedOn w:val="Normal"/>
    <w:rsid w:val="002D73D3"/>
    <w:rPr>
      <w:rFonts w:ascii="Arial Black" w:hAnsi="Arial Black" w:cstheme="minorBidi"/>
      <w:b/>
      <w:color w:val="969696"/>
      <w:spacing w:val="60"/>
      <w:sz w:val="108"/>
    </w:rPr>
  </w:style>
  <w:style w:type="paragraph" w:styleId="Revision">
    <w:name w:val="Revision"/>
    <w:hidden/>
    <w:uiPriority w:val="99"/>
    <w:semiHidden/>
    <w:rsid w:val="00DC22BA"/>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DD352A"/>
    <w:rPr>
      <w:sz w:val="16"/>
      <w:szCs w:val="16"/>
    </w:rPr>
  </w:style>
  <w:style w:type="paragraph" w:styleId="CommentText">
    <w:name w:val="annotation text"/>
    <w:basedOn w:val="Normal"/>
    <w:link w:val="CommentTextChar"/>
    <w:uiPriority w:val="99"/>
    <w:unhideWhenUsed/>
    <w:rsid w:val="00DD352A"/>
    <w:rPr>
      <w:sz w:val="20"/>
      <w:szCs w:val="20"/>
    </w:rPr>
  </w:style>
  <w:style w:type="character" w:customStyle="1" w:styleId="CommentTextChar">
    <w:name w:val="Comment Text Char"/>
    <w:basedOn w:val="DefaultParagraphFont"/>
    <w:link w:val="CommentText"/>
    <w:uiPriority w:val="99"/>
    <w:rsid w:val="00DD352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352A"/>
    <w:rPr>
      <w:b/>
      <w:bCs/>
    </w:rPr>
  </w:style>
  <w:style w:type="character" w:customStyle="1" w:styleId="CommentSubjectChar">
    <w:name w:val="Comment Subject Char"/>
    <w:basedOn w:val="CommentTextChar"/>
    <w:link w:val="CommentSubject"/>
    <w:uiPriority w:val="99"/>
    <w:semiHidden/>
    <w:rsid w:val="00DD352A"/>
    <w:rPr>
      <w:rFonts w:ascii="Times New Roman" w:hAnsi="Times New Roman" w:cs="Times New Roman"/>
      <w:b/>
      <w:bCs/>
      <w:sz w:val="20"/>
      <w:szCs w:val="20"/>
    </w:rPr>
  </w:style>
  <w:style w:type="character" w:styleId="Hyperlink">
    <w:name w:val="Hyperlink"/>
    <w:basedOn w:val="DefaultParagraphFont"/>
    <w:uiPriority w:val="99"/>
    <w:unhideWhenUsed/>
    <w:rsid w:val="00DD352A"/>
    <w:rPr>
      <w:color w:val="0563C1" w:themeColor="hyperlink"/>
      <w:u w:val="single"/>
    </w:rPr>
  </w:style>
  <w:style w:type="character" w:styleId="UnresolvedMention">
    <w:name w:val="Unresolved Mention"/>
    <w:basedOn w:val="DefaultParagraphFont"/>
    <w:uiPriority w:val="99"/>
    <w:semiHidden/>
    <w:unhideWhenUsed/>
    <w:rsid w:val="00DD352A"/>
    <w:rPr>
      <w:color w:val="605E5C"/>
      <w:shd w:val="clear" w:color="auto" w:fill="E1DFDD"/>
    </w:rPr>
  </w:style>
  <w:style w:type="character" w:styleId="FollowedHyperlink">
    <w:name w:val="FollowedHyperlink"/>
    <w:basedOn w:val="DefaultParagraphFont"/>
    <w:uiPriority w:val="99"/>
    <w:semiHidden/>
    <w:unhideWhenUsed/>
    <w:rsid w:val="00676C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659a"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408"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4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FDFE6-4483-4324-8CAA-FD2CCA286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GCBDE/GDBDE - Military Leave of Absence</vt:lpstr>
    </vt:vector>
  </TitlesOfParts>
  <Company>OSBA</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GCBDE/GDBDE - Military Leave of Absence</dc:title>
  <dc:subject>OSBA Board Policy</dc:subject>
  <dc:creator>Oregon School Boards Association</dc:creator>
  <cp:keywords/>
  <dc:description/>
  <cp:lastModifiedBy>CSD</cp:lastModifiedBy>
  <cp:revision>2</cp:revision>
  <dcterms:created xsi:type="dcterms:W3CDTF">2025-10-10T06:32:00Z</dcterms:created>
  <dcterms:modified xsi:type="dcterms:W3CDTF">2025-10-10T06:32:00Z</dcterms:modified>
</cp:coreProperties>
</file>